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274E1" w:rsidRDefault="0057127B">
      <w:pPr>
        <w:jc w:val="center"/>
      </w:pPr>
      <w:bookmarkStart w:id="0" w:name="_gjdgxs" w:colFirst="0" w:colLast="0"/>
      <w:bookmarkEnd w:id="0"/>
      <w:r>
        <w:rPr>
          <w:rFonts w:ascii="Gotham Book" w:eastAsia="Gotham Book" w:hAnsi="Gotham Book" w:cs="Gotham Book"/>
          <w:sz w:val="32"/>
          <w:szCs w:val="32"/>
        </w:rPr>
        <w:t>Theater: Massaging the Tight Spots</w:t>
      </w:r>
    </w:p>
    <w:p w:rsidR="00A274E1" w:rsidRDefault="0057127B">
      <w:pPr>
        <w:jc w:val="center"/>
      </w:pPr>
      <w:r>
        <w:rPr>
          <w:rFonts w:ascii="Gotham Book" w:eastAsia="Gotham Book" w:hAnsi="Gotham Book" w:cs="Gotham Book"/>
          <w:i/>
        </w:rPr>
        <w:t>[Specialty Track 3]</w:t>
      </w:r>
      <w:r>
        <w:rPr>
          <w:rFonts w:ascii="Gotham Book" w:eastAsia="Gotham Book" w:hAnsi="Gotham Book" w:cs="Gotham Book"/>
          <w:i/>
        </w:rPr>
        <w:br/>
      </w:r>
    </w:p>
    <w:tbl>
      <w:tblPr>
        <w:tblStyle w:val="a"/>
        <w:tblW w:w="9990" w:type="dxa"/>
        <w:tblInd w:w="-540"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AUTHOR(S):</w:t>
            </w:r>
          </w:p>
        </w:tc>
        <w:tc>
          <w:tcPr>
            <w:tcW w:w="8010" w:type="dxa"/>
            <w:shd w:val="clear" w:color="auto" w:fill="FFFFFF"/>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Jon Adam Ross</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SUMMARY:</w:t>
            </w:r>
          </w:p>
        </w:tc>
        <w:tc>
          <w:tcPr>
            <w:tcW w:w="8010" w:type="dxa"/>
          </w:tcPr>
          <w:p w:rsidR="00A274E1" w:rsidRPr="00752978" w:rsidRDefault="0057127B">
            <w:pPr>
              <w:contextualSpacing w:val="0"/>
              <w:rPr>
                <w:rFonts w:ascii="Helvetica" w:eastAsia="Helvetica Neue" w:hAnsi="Helvetica" w:cs="Helvetica Neue"/>
                <w:sz w:val="20"/>
                <w:szCs w:val="20"/>
              </w:rPr>
            </w:pPr>
            <w:r w:rsidRPr="00752978">
              <w:rPr>
                <w:rFonts w:ascii="Helvetica" w:eastAsia="Helvetica Neue" w:hAnsi="Helvetica" w:cs="Helvetica Neue"/>
                <w:sz w:val="20"/>
                <w:szCs w:val="20"/>
              </w:rPr>
              <w:t xml:space="preserve">2017 is a year filled with difficult conversations. The time is NOW to work together to hear each other, to question each other, and to work through the tight spots. You will play with actor/playwright Jon Adam Ross, founding artist of </w:t>
            </w:r>
            <w:hyperlink r:id="rId7">
              <w:r w:rsidRPr="00752978">
                <w:rPr>
                  <w:rFonts w:ascii="Helvetica" w:eastAsia="Helvetica Neue" w:hAnsi="Helvetica" w:cs="Helvetica Neue"/>
                  <w:color w:val="1155CC"/>
                  <w:sz w:val="20"/>
                  <w:szCs w:val="20"/>
                  <w:u w:val="single"/>
                </w:rPr>
                <w:t>The In[heir]itance Project</w:t>
              </w:r>
            </w:hyperlink>
            <w:r w:rsidRPr="00752978">
              <w:rPr>
                <w:rFonts w:ascii="Helvetica" w:eastAsia="Helvetica Neue" w:hAnsi="Helvetica" w:cs="Helvetica Neue"/>
                <w:sz w:val="20"/>
                <w:szCs w:val="20"/>
              </w:rPr>
              <w:t>, to explore difficult conversations through a theater process inspired by his work in Charleston, SC.</w:t>
            </w:r>
          </w:p>
          <w:p w:rsidR="00F529B6" w:rsidRPr="00752978" w:rsidRDefault="00F529B6">
            <w:pPr>
              <w:contextualSpacing w:val="0"/>
              <w:rPr>
                <w:rFonts w:ascii="Helvetica" w:hAnsi="Helvetica"/>
                <w:sz w:val="20"/>
                <w:szCs w:val="20"/>
              </w:rPr>
            </w:pP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TOPIC(S):</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Theater, Communication Skills</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LEARNING OBJECTIVE:</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Participants will learn tools for devising theater, exercises for generating material, and strategies for lowering the barrier of entry for personal, deep</w:t>
            </w:r>
            <w:r w:rsidR="00F529B6" w:rsidRPr="00752978">
              <w:rPr>
                <w:rFonts w:ascii="Helvetica" w:eastAsia="Helvetica Neue" w:hAnsi="Helvetica" w:cs="Helvetica Neue"/>
                <w:sz w:val="20"/>
                <w:szCs w:val="20"/>
              </w:rPr>
              <w:t>,</w:t>
            </w:r>
            <w:r w:rsidRPr="00752978">
              <w:rPr>
                <w:rFonts w:ascii="Helvetica" w:eastAsia="Helvetica Neue" w:hAnsi="Helvetica" w:cs="Helvetica Neue"/>
                <w:sz w:val="20"/>
                <w:szCs w:val="20"/>
              </w:rPr>
              <w:t xml:space="preserve"> and complex conversations.</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AUDIENCE:</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Any audience</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TIMING:</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60 minutes</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APPENDICES:</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none</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rPr>
              <w:t>MATERIALS NEEDED:</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Papers, pens, smartphones</w:t>
            </w:r>
          </w:p>
        </w:tc>
      </w:tr>
      <w:tr w:rsidR="00A274E1">
        <w:trPr>
          <w:trHeight w:val="460"/>
        </w:trPr>
        <w:tc>
          <w:tcPr>
            <w:tcW w:w="1980" w:type="dxa"/>
          </w:tcPr>
          <w:p w:rsidR="00A274E1" w:rsidRDefault="0057127B">
            <w:pPr>
              <w:contextualSpacing w:val="0"/>
            </w:pPr>
            <w:r>
              <w:rPr>
                <w:rFonts w:ascii="Gotham Book" w:eastAsia="Gotham Book" w:hAnsi="Gotham Book" w:cs="Gotham Book"/>
                <w:b/>
                <w:smallCaps/>
                <w:color w:val="00A99D"/>
                <w:sz w:val="22"/>
                <w:szCs w:val="22"/>
              </w:rPr>
              <w:t>SET-UP DETAILS:</w:t>
            </w:r>
          </w:p>
        </w:tc>
        <w:tc>
          <w:tcPr>
            <w:tcW w:w="8010" w:type="dxa"/>
          </w:tcPr>
          <w:p w:rsidR="00A274E1" w:rsidRPr="00752978" w:rsidRDefault="0057127B">
            <w:pPr>
              <w:contextualSpacing w:val="0"/>
              <w:rPr>
                <w:rFonts w:ascii="Helvetica" w:hAnsi="Helvetica"/>
                <w:sz w:val="20"/>
                <w:szCs w:val="20"/>
              </w:rPr>
            </w:pPr>
            <w:r w:rsidRPr="00752978">
              <w:rPr>
                <w:rFonts w:ascii="Helvetica" w:eastAsia="Helvetica Neue" w:hAnsi="Helvetica" w:cs="Helvetica Neue"/>
                <w:sz w:val="20"/>
                <w:szCs w:val="20"/>
              </w:rPr>
              <w:t>Any open space with room to move around</w:t>
            </w:r>
          </w:p>
          <w:p w:rsidR="00A274E1" w:rsidRPr="00752978" w:rsidRDefault="00A274E1">
            <w:pPr>
              <w:contextualSpacing w:val="0"/>
              <w:rPr>
                <w:rFonts w:ascii="Helvetica" w:hAnsi="Helvetica"/>
                <w:sz w:val="20"/>
                <w:szCs w:val="20"/>
              </w:rPr>
            </w:pPr>
          </w:p>
          <w:p w:rsidR="00A274E1" w:rsidRPr="00752978" w:rsidRDefault="0057127B">
            <w:pPr>
              <w:contextualSpacing w:val="0"/>
              <w:rPr>
                <w:rFonts w:ascii="Helvetica" w:eastAsia="Helvetica Neue" w:hAnsi="Helvetica" w:cs="Helvetica Neue"/>
                <w:sz w:val="20"/>
                <w:szCs w:val="20"/>
              </w:rPr>
            </w:pPr>
            <w:r w:rsidRPr="00752978">
              <w:rPr>
                <w:rFonts w:ascii="Helvetica" w:eastAsia="Helvetica Neue" w:hAnsi="Helvetica" w:cs="Helvetica Neue"/>
                <w:sz w:val="20"/>
                <w:szCs w:val="20"/>
              </w:rPr>
              <w:t>No furniture is ideal - just wide open.</w:t>
            </w:r>
          </w:p>
          <w:p w:rsidR="00F529B6" w:rsidRPr="00752978" w:rsidRDefault="00F529B6">
            <w:pPr>
              <w:contextualSpacing w:val="0"/>
              <w:rPr>
                <w:rFonts w:ascii="Helvetica" w:hAnsi="Helvetica"/>
                <w:sz w:val="20"/>
                <w:szCs w:val="20"/>
              </w:rPr>
            </w:pPr>
          </w:p>
        </w:tc>
      </w:tr>
    </w:tbl>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A274E1"/>
    <w:p w:rsidR="00A274E1" w:rsidRDefault="0057127B">
      <w:r>
        <w:rPr>
          <w:rFonts w:ascii="Gotham Book" w:eastAsia="Gotham Book" w:hAnsi="Gotham Book" w:cs="Gotham Book"/>
          <w:b/>
          <w:smallCaps/>
        </w:rPr>
        <w:t>Session Timeline &amp; Outline:</w:t>
      </w:r>
    </w:p>
    <w:p w:rsidR="00A274E1" w:rsidRDefault="00A274E1"/>
    <w:p w:rsidR="00A274E1" w:rsidRPr="00F529B6" w:rsidRDefault="00F529B6">
      <w:pPr>
        <w:widowControl/>
        <w:numPr>
          <w:ilvl w:val="0"/>
          <w:numId w:val="1"/>
        </w:numPr>
        <w:spacing w:line="276" w:lineRule="auto"/>
        <w:ind w:hanging="360"/>
        <w:contextualSpacing/>
        <w:rPr>
          <w:rFonts w:ascii="Helvetica" w:eastAsia="Arial" w:hAnsi="Helvetica" w:cs="Arial"/>
          <w:sz w:val="20"/>
          <w:szCs w:val="20"/>
        </w:rPr>
      </w:pPr>
      <w:r>
        <w:rPr>
          <w:rFonts w:ascii="Helvetica" w:eastAsia="Arial" w:hAnsi="Helvetica" w:cs="Arial"/>
          <w:sz w:val="20"/>
          <w:szCs w:val="20"/>
        </w:rPr>
        <w:t>Warming Up - e</w:t>
      </w:r>
      <w:r w:rsidR="0057127B" w:rsidRPr="00F529B6">
        <w:rPr>
          <w:rFonts w:ascii="Helvetica" w:eastAsia="Arial" w:hAnsi="Helvetica" w:cs="Arial"/>
          <w:sz w:val="20"/>
          <w:szCs w:val="20"/>
        </w:rPr>
        <w:t>xercises to prep for the session</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Physical warmup</w:t>
      </w:r>
    </w:p>
    <w:p w:rsidR="00A274E1" w:rsidRPr="00F529B6" w:rsidRDefault="00F529B6">
      <w:pPr>
        <w:widowControl/>
        <w:numPr>
          <w:ilvl w:val="2"/>
          <w:numId w:val="1"/>
        </w:numPr>
        <w:spacing w:line="276" w:lineRule="auto"/>
        <w:ind w:hanging="360"/>
        <w:contextualSpacing/>
        <w:rPr>
          <w:rFonts w:ascii="Helvetica" w:eastAsia="Arial" w:hAnsi="Helvetica" w:cs="Arial"/>
          <w:sz w:val="20"/>
          <w:szCs w:val="20"/>
        </w:rPr>
      </w:pPr>
      <w:r>
        <w:rPr>
          <w:rFonts w:ascii="Helvetica" w:eastAsia="Arial" w:hAnsi="Helvetica" w:cs="Arial"/>
          <w:sz w:val="20"/>
          <w:szCs w:val="20"/>
        </w:rPr>
        <w:t>G</w:t>
      </w:r>
      <w:r w:rsidR="0057127B" w:rsidRPr="00F529B6">
        <w:rPr>
          <w:rFonts w:ascii="Helvetica" w:eastAsia="Arial" w:hAnsi="Helvetica" w:cs="Arial"/>
          <w:sz w:val="20"/>
          <w:szCs w:val="20"/>
        </w:rPr>
        <w:t>roup massage exercise</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Vocal warmup</w:t>
      </w:r>
    </w:p>
    <w:p w:rsidR="00A274E1" w:rsidRPr="00F529B6"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P-funk</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Character warmup</w:t>
      </w:r>
    </w:p>
    <w:p w:rsidR="00A274E1"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10 to 1 status walk</w:t>
      </w:r>
    </w:p>
    <w:p w:rsidR="00F529B6" w:rsidRPr="00F529B6" w:rsidRDefault="00F529B6" w:rsidP="00F529B6">
      <w:pPr>
        <w:widowControl/>
        <w:spacing w:line="276" w:lineRule="auto"/>
        <w:ind w:left="2160"/>
        <w:contextualSpacing/>
        <w:rPr>
          <w:rFonts w:ascii="Helvetica" w:eastAsia="Arial" w:hAnsi="Helvetica" w:cs="Arial"/>
          <w:sz w:val="20"/>
          <w:szCs w:val="20"/>
        </w:rPr>
      </w:pPr>
    </w:p>
    <w:p w:rsidR="00A274E1" w:rsidRPr="00F529B6" w:rsidRDefault="0057127B">
      <w:pPr>
        <w:widowControl/>
        <w:numPr>
          <w:ilvl w:val="0"/>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Putting it all together</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Revisit the pairs from the day before</w:t>
      </w:r>
      <w:r w:rsidR="00F529B6">
        <w:rPr>
          <w:rFonts w:ascii="Helvetica" w:eastAsia="Arial" w:hAnsi="Helvetica" w:cs="Arial"/>
          <w:sz w:val="20"/>
          <w:szCs w:val="20"/>
        </w:rPr>
        <w:t>.</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Put people in groups and assign each group a paired scenario from the day before</w:t>
      </w:r>
      <w:r w:rsidR="00F529B6">
        <w:rPr>
          <w:rFonts w:ascii="Helvetica" w:eastAsia="Arial" w:hAnsi="Helvetica" w:cs="Arial"/>
          <w:sz w:val="20"/>
          <w:szCs w:val="20"/>
        </w:rPr>
        <w:t>.</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Rehearse difficult conversations for the purpose of generating material</w:t>
      </w:r>
      <w:r w:rsidR="00F529B6">
        <w:rPr>
          <w:rFonts w:ascii="Helvetica" w:eastAsia="Arial" w:hAnsi="Helvetica" w:cs="Arial"/>
          <w:sz w:val="20"/>
          <w:szCs w:val="20"/>
        </w:rPr>
        <w:t>.</w:t>
      </w:r>
    </w:p>
    <w:p w:rsidR="00A274E1" w:rsidRPr="00F529B6" w:rsidRDefault="0057127B">
      <w:pPr>
        <w:widowControl/>
        <w:numPr>
          <w:ilvl w:val="1"/>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We will create a theater piece from the conversations by:</w:t>
      </w:r>
    </w:p>
    <w:p w:rsidR="00A274E1" w:rsidRPr="00F529B6"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Designing an arc for the overall narrative themed on the title “Massage the Tight Spots”</w:t>
      </w:r>
    </w:p>
    <w:p w:rsidR="00A274E1" w:rsidRPr="00F529B6"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Adding elements of physical and verbal expression</w:t>
      </w:r>
    </w:p>
    <w:p w:rsidR="00A274E1" w:rsidRPr="00F529B6"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Determining characters</w:t>
      </w:r>
    </w:p>
    <w:p w:rsidR="00A274E1" w:rsidRDefault="0057127B">
      <w:pPr>
        <w:widowControl/>
        <w:numPr>
          <w:ilvl w:val="2"/>
          <w:numId w:val="1"/>
        </w:numPr>
        <w:spacing w:line="276" w:lineRule="auto"/>
        <w:ind w:hanging="360"/>
        <w:contextualSpacing/>
        <w:rPr>
          <w:rFonts w:ascii="Helvetica" w:eastAsia="Arial" w:hAnsi="Helvetica" w:cs="Arial"/>
          <w:sz w:val="20"/>
          <w:szCs w:val="20"/>
        </w:rPr>
      </w:pPr>
      <w:r w:rsidRPr="00F529B6">
        <w:rPr>
          <w:rFonts w:ascii="Helvetica" w:eastAsia="Arial" w:hAnsi="Helvetica" w:cs="Arial"/>
          <w:sz w:val="20"/>
          <w:szCs w:val="20"/>
        </w:rPr>
        <w:t>Rehearsing in groups and then as a whole</w:t>
      </w:r>
    </w:p>
    <w:p w:rsidR="00F529B6" w:rsidRPr="00F529B6" w:rsidRDefault="00F529B6" w:rsidP="00F529B6">
      <w:pPr>
        <w:widowControl/>
        <w:spacing w:line="276" w:lineRule="auto"/>
        <w:ind w:left="2160"/>
        <w:contextualSpacing/>
        <w:rPr>
          <w:rFonts w:ascii="Helvetica" w:eastAsia="Arial" w:hAnsi="Helvetica" w:cs="Arial"/>
          <w:sz w:val="20"/>
          <w:szCs w:val="20"/>
        </w:rPr>
      </w:pPr>
    </w:p>
    <w:p w:rsidR="00A274E1" w:rsidRPr="00F529B6" w:rsidRDefault="00F529B6">
      <w:pPr>
        <w:widowControl/>
        <w:numPr>
          <w:ilvl w:val="0"/>
          <w:numId w:val="1"/>
        </w:numPr>
        <w:spacing w:line="276" w:lineRule="auto"/>
        <w:ind w:hanging="360"/>
        <w:contextualSpacing/>
        <w:rPr>
          <w:rFonts w:ascii="Helvetica" w:eastAsia="Arial" w:hAnsi="Helvetica" w:cs="Arial"/>
          <w:sz w:val="20"/>
          <w:szCs w:val="20"/>
        </w:rPr>
      </w:pPr>
      <w:r>
        <w:rPr>
          <w:rFonts w:ascii="Helvetica" w:eastAsia="Arial" w:hAnsi="Helvetica" w:cs="Arial"/>
          <w:sz w:val="20"/>
          <w:szCs w:val="20"/>
        </w:rPr>
        <w:t>Engage in a follow-up conversatio</w:t>
      </w:r>
      <w:bookmarkStart w:id="1" w:name="_GoBack"/>
      <w:bookmarkEnd w:id="1"/>
      <w:r>
        <w:rPr>
          <w:rFonts w:ascii="Helvetica" w:eastAsia="Arial" w:hAnsi="Helvetica" w:cs="Arial"/>
          <w:sz w:val="20"/>
          <w:szCs w:val="20"/>
        </w:rPr>
        <w:t>n about</w:t>
      </w:r>
      <w:r w:rsidR="0057127B" w:rsidRPr="00F529B6">
        <w:rPr>
          <w:rFonts w:ascii="Helvetica" w:eastAsia="Arial" w:hAnsi="Helvetica" w:cs="Arial"/>
          <w:sz w:val="20"/>
          <w:szCs w:val="20"/>
        </w:rPr>
        <w:t xml:space="preserve"> when and where these conversations can happen in camp, and with whom. We will also discuss how to adapt the model.</w:t>
      </w:r>
    </w:p>
    <w:p w:rsidR="00A274E1" w:rsidRPr="00F529B6" w:rsidRDefault="00A274E1">
      <w:pPr>
        <w:rPr>
          <w:rFonts w:ascii="Helvetica" w:hAnsi="Helvetica"/>
          <w:sz w:val="20"/>
          <w:szCs w:val="20"/>
        </w:rPr>
      </w:pPr>
    </w:p>
    <w:p w:rsidR="00A274E1" w:rsidRDefault="00A274E1"/>
    <w:p w:rsidR="00A274E1" w:rsidRDefault="00A274E1"/>
    <w:p w:rsidR="00A274E1" w:rsidRDefault="0057127B">
      <w:r>
        <w:rPr>
          <w:rFonts w:ascii="Gotham Book" w:eastAsia="Gotham Book" w:hAnsi="Gotham Book" w:cs="Gotham Book"/>
          <w:b/>
          <w:smallCaps/>
        </w:rPr>
        <w:t>Additional Notes for Bringing it Back to Camp:</w:t>
      </w:r>
    </w:p>
    <w:p w:rsidR="00A274E1" w:rsidRDefault="00A274E1"/>
    <w:p w:rsidR="00A274E1" w:rsidRPr="00752978" w:rsidRDefault="0057127B">
      <w:pPr>
        <w:rPr>
          <w:rFonts w:ascii="Helvetica" w:hAnsi="Helvetica"/>
        </w:rPr>
      </w:pPr>
      <w:r w:rsidRPr="00752978">
        <w:rPr>
          <w:rFonts w:ascii="Helvetica" w:eastAsia="Helvetica Neue" w:hAnsi="Helvetica" w:cs="Helvetica Neue"/>
          <w:sz w:val="20"/>
          <w:szCs w:val="20"/>
        </w:rPr>
        <w:t>This is the third session in a process. You could break it down and spread this out over a few sessions, or repeat with multiple texts for the same or different characters.</w:t>
      </w:r>
    </w:p>
    <w:p w:rsidR="00A274E1" w:rsidRDefault="00A274E1"/>
    <w:p w:rsidR="00A274E1" w:rsidRDefault="00A274E1"/>
    <w:p w:rsidR="00A274E1" w:rsidRDefault="00A274E1"/>
    <w:sectPr w:rsidR="00A274E1">
      <w:headerReference w:type="default" r:id="rId8"/>
      <w:headerReference w:type="first" r:id="rId9"/>
      <w:footerReference w:type="first" r:id="rId10"/>
      <w:pgSz w:w="12240" w:h="15840"/>
      <w:pgMar w:top="1440" w:right="1584" w:bottom="1440" w:left="15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12" w:rsidRDefault="0057127B">
      <w:r>
        <w:separator/>
      </w:r>
    </w:p>
  </w:endnote>
  <w:endnote w:type="continuationSeparator" w:id="0">
    <w:p w:rsidR="00197312" w:rsidRDefault="0057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1" w:rsidRDefault="0057127B">
    <w:pPr>
      <w:tabs>
        <w:tab w:val="center" w:pos="4680"/>
        <w:tab w:val="right" w:pos="8640"/>
      </w:tabs>
    </w:pPr>
    <w:r>
      <w:rPr>
        <w:noProof/>
      </w:rPr>
      <w:drawing>
        <wp:anchor distT="0" distB="0" distL="114300" distR="114300" simplePos="0" relativeHeight="251661312" behindDoc="0" locked="0" layoutInCell="0" hidden="0" allowOverlap="1">
          <wp:simplePos x="0" y="0"/>
          <wp:positionH relativeFrom="margin">
            <wp:posOffset>-1005838</wp:posOffset>
          </wp:positionH>
          <wp:positionV relativeFrom="paragraph">
            <wp:posOffset>-808989</wp:posOffset>
          </wp:positionV>
          <wp:extent cx="7829550" cy="1369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829550" cy="1369060"/>
                  </a:xfrm>
                  <a:prstGeom prst="rect">
                    <a:avLst/>
                  </a:prstGeom>
                  <a:ln/>
                </pic:spPr>
              </pic:pic>
            </a:graphicData>
          </a:graphic>
        </wp:anchor>
      </w:drawing>
    </w:r>
  </w:p>
  <w:p w:rsidR="00A274E1" w:rsidRDefault="0057127B">
    <w:pPr>
      <w:tabs>
        <w:tab w:val="center" w:pos="4680"/>
        <w:tab w:val="right" w:pos="8640"/>
      </w:tabs>
      <w:ind w:left="-1440"/>
    </w:pPr>
    <w:r>
      <w:rPr>
        <w:rFonts w:ascii="Helvetica Neue" w:eastAsia="Helvetica Neue" w:hAnsi="Helvetica Neue" w:cs="Helvetica Neue"/>
        <w:color w:val="FFFFFF"/>
        <w:sz w:val="18"/>
        <w:szCs w:val="18"/>
      </w:rPr>
      <w:t>created for Foundation for Jewish Camp for educational use</w:t>
    </w:r>
  </w:p>
  <w:p w:rsidR="00A274E1" w:rsidRDefault="00A274E1">
    <w:pPr>
      <w:tabs>
        <w:tab w:val="center" w:pos="4680"/>
        <w:tab w:val="right" w:pos="9360"/>
      </w:tabs>
      <w:spacing w:after="15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12" w:rsidRDefault="0057127B">
      <w:r>
        <w:separator/>
      </w:r>
    </w:p>
  </w:footnote>
  <w:footnote w:type="continuationSeparator" w:id="0">
    <w:p w:rsidR="00197312" w:rsidRDefault="005712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1" w:rsidRDefault="0057127B">
    <w:pPr>
      <w:spacing w:before="720"/>
      <w:jc w:val="center"/>
    </w:pPr>
    <w:r>
      <w:rPr>
        <w:rFonts w:ascii="Montserrat" w:eastAsia="Montserrat" w:hAnsi="Montserrat" w:cs="Montserrat"/>
        <w:b/>
        <w:smallCaps/>
        <w:color w:val="00A99D"/>
        <w:sz w:val="32"/>
        <w:szCs w:val="32"/>
      </w:rPr>
      <w:br/>
      <w:t>CORNERSTONE 2017 RESOURCE</w:t>
    </w:r>
    <w:r>
      <w:rPr>
        <w:noProof/>
      </w:rPr>
      <mc:AlternateContent>
        <mc:Choice Requires="wps">
          <w:drawing>
            <wp:anchor distT="0" distB="0" distL="114300" distR="114300" simplePos="0" relativeHeight="251658240" behindDoc="1" locked="0" layoutInCell="0" hidden="0" allowOverlap="1">
              <wp:simplePos x="0" y="0"/>
              <wp:positionH relativeFrom="margin">
                <wp:posOffset>-914399</wp:posOffset>
              </wp:positionH>
              <wp:positionV relativeFrom="paragraph">
                <wp:posOffset>-317499</wp:posOffset>
              </wp:positionV>
              <wp:extent cx="7391400" cy="317500"/>
              <wp:effectExtent l="0" t="0" r="0" b="0"/>
              <wp:wrapSquare wrapText="bothSides" distT="0" distB="0" distL="114300" distR="114300"/>
              <wp:docPr id="4" name=""/>
              <wp:cNvGraphicFramePr/>
              <a:graphic xmlns:a="http://schemas.openxmlformats.org/drawingml/2006/main">
                <a:graphicData uri="http://schemas.microsoft.com/office/word/2010/wordprocessingShape">
                  <wps:wsp>
                    <wps:cNvSpPr/>
                    <wps:spPr>
                      <a:xfrm>
                        <a:off x="1650300" y="3622837"/>
                        <a:ext cx="7391399" cy="314324"/>
                      </a:xfrm>
                      <a:prstGeom prst="rect">
                        <a:avLst/>
                      </a:prstGeom>
                      <a:solidFill>
                        <a:schemeClr val="lt1"/>
                      </a:solidFill>
                      <a:ln>
                        <a:noFill/>
                      </a:ln>
                    </wps:spPr>
                    <wps:txbx>
                      <w:txbxContent>
                        <w:p w:rsidR="00A274E1" w:rsidRDefault="00A274E1">
                          <w:pPr>
                            <w:textDirection w:val="btLr"/>
                          </w:pPr>
                        </w:p>
                      </w:txbxContent>
                    </wps:txbx>
                    <wps:bodyPr lIns="91425" tIns="45700" rIns="91425" bIns="45700" anchor="t" anchorCtr="0"/>
                  </wps:wsp>
                </a:graphicData>
              </a:graphic>
            </wp:anchor>
          </w:drawing>
        </mc:Choice>
        <mc:Fallback>
          <w:pict>
            <v:rect id="_x0000_s1026" style="position:absolute;left:0;text-align:left;margin-left:-1in;margin-top:-25pt;width:582pt;height:2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" o:allowincell="f" fillcolor="white [3201]" stroked="f">
              <v:textbox inset="2.53958mm,1.2694mm,2.53958mm,1.2694mm">
                <w:txbxContent>
                  <w:p w:rsidR="00A274E1" w:rsidRDefault="00A274E1">
                    <w:pPr>
                      <w:textDirection w:val="btLr"/>
                    </w:pPr>
                  </w:p>
                </w:txbxContent>
              </v:textbox>
              <w10:wrap type="square" anchorx="margin"/>
            </v:rect>
          </w:pict>
        </mc:Fallback>
      </mc:AlternateContent>
    </w:r>
    <w:r>
      <w:rPr>
        <w:noProof/>
      </w:rPr>
      <w:drawing>
        <wp:anchor distT="0" distB="0" distL="0" distR="0" simplePos="0" relativeHeight="251659264" behindDoc="0" locked="0" layoutInCell="0" hidden="0" allowOverlap="1">
          <wp:simplePos x="0" y="0"/>
          <wp:positionH relativeFrom="margin">
            <wp:posOffset>-801369</wp:posOffset>
          </wp:positionH>
          <wp:positionV relativeFrom="paragraph">
            <wp:posOffset>-198119</wp:posOffset>
          </wp:positionV>
          <wp:extent cx="1590675" cy="861060"/>
          <wp:effectExtent l="0" t="0" r="0" b="0"/>
          <wp:wrapSquare wrapText="bothSides" distT="0" distB="0" distL="0" distR="0"/>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4E1" w:rsidRDefault="0057127B">
    <w:pPr>
      <w:spacing w:before="720"/>
      <w:jc w:val="center"/>
    </w:pPr>
    <w:r>
      <w:rPr>
        <w:noProof/>
      </w:rPr>
      <w:drawing>
        <wp:anchor distT="0" distB="0" distL="0" distR="0" simplePos="0" relativeHeight="251660288" behindDoc="0" locked="0" layoutInCell="0" hidden="0" allowOverlap="1">
          <wp:simplePos x="0" y="0"/>
          <wp:positionH relativeFrom="margin">
            <wp:posOffset>-760729</wp:posOffset>
          </wp:positionH>
          <wp:positionV relativeFrom="paragraph">
            <wp:posOffset>-184784</wp:posOffset>
          </wp:positionV>
          <wp:extent cx="1590675" cy="861060"/>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t="24204" b="21655"/>
                  <a:stretch>
                    <a:fillRect/>
                  </a:stretch>
                </pic:blipFill>
                <pic:spPr>
                  <a:xfrm>
                    <a:off x="0" y="0"/>
                    <a:ext cx="1590675" cy="861060"/>
                  </a:xfrm>
                  <a:prstGeom prst="rect">
                    <a:avLst/>
                  </a:prstGeom>
                  <a:ln/>
                </pic:spPr>
              </pic:pic>
            </a:graphicData>
          </a:graphic>
        </wp:anchor>
      </w:drawing>
    </w:r>
  </w:p>
  <w:p w:rsidR="00A274E1" w:rsidRDefault="0057127B">
    <w:pPr>
      <w:jc w:val="center"/>
    </w:pPr>
    <w:r>
      <w:rPr>
        <w:rFonts w:ascii="Montserrat" w:eastAsia="Montserrat" w:hAnsi="Montserrat" w:cs="Montserrat"/>
        <w:b/>
        <w:smallCaps/>
        <w:color w:val="00A99D"/>
        <w:sz w:val="32"/>
        <w:szCs w:val="32"/>
      </w:rPr>
      <w:t>CORNERSTONE 2017 RESOURCE</w:t>
    </w:r>
  </w:p>
  <w:p w:rsidR="00A274E1" w:rsidRDefault="00A274E1">
    <w:pPr>
      <w:tabs>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0B1C"/>
    <w:multiLevelType w:val="multilevel"/>
    <w:tmpl w:val="D9F08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E1"/>
    <w:rsid w:val="00197312"/>
    <w:rsid w:val="0057127B"/>
    <w:rsid w:val="00752978"/>
    <w:rsid w:val="00A274E1"/>
    <w:rsid w:val="00EF0C19"/>
    <w:rsid w:val="00F5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56A64-3703-4ED7-8D81-30DF772E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jc w:val="right"/>
      <w:outlineLvl w:val="1"/>
    </w:pPr>
    <w:rPr>
      <w:rFonts w:ascii="Questrial" w:eastAsia="Questrial" w:hAnsi="Questrial" w:cs="Questrial"/>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standcourier.com/20160507/160509537/the-rebecca-play-innovative-theater-project-uses-book-of-genesis-as-its-genes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O'Brien</dc:creator>
  <cp:lastModifiedBy>Katherine O'Brien</cp:lastModifiedBy>
  <cp:revision>4</cp:revision>
  <dcterms:created xsi:type="dcterms:W3CDTF">2017-04-04T20:23:00Z</dcterms:created>
  <dcterms:modified xsi:type="dcterms:W3CDTF">2017-04-04T20:25:00Z</dcterms:modified>
</cp:coreProperties>
</file>